
<file path=[Content_Types].xml><?xml version="1.0" encoding="utf-8"?>
<Types xmlns="http://schemas.openxmlformats.org/package/2006/content-types">
  <Default Extension="rels" ContentType="application/vnd.openxmlformats-package.relationships+xml"/>
  <Default Extension="svg" ContentType="image/svg+xml"/>
  <Default Extension="gif" ContentType="image/gif"/>
  <Default Extension="bmp" ContentType="image/bmp"/>
  <Default Extension="odttf" ContentType="application/vnd.openxmlformats-officedocument.obfuscatedFont"/>
  <Default Extension="jpeg" ContentType="image/jpeg"/>
  <Default Extension="png" ContentType="image/png"/>
  <Default Extension="jpg" ContentType="image/jpeg"/>
  <Default Extension="xml" ContentType="application/xml"/>
  <Override PartName="/word/theme/theme1.xml" ContentType="application/vnd.openxmlformats-officedocument.theme+xml"/>
  <Override PartName="/word/fontTable.xml" ContentType="application/vnd.openxmlformats-officedocument.wordprocessingml.fontTable+xml"/>
  <Override PartName="/word/comments.xml" ContentType="application/vnd.openxmlformats-officedocument.wordprocessingml.comments+xml"/>
  <Override PartName="/word/settings.xml" ContentType="application/vnd.openxmlformats-officedocument.wordprocessingml.settings+xml"/>
  <Override PartName="/word/endnotes.xml" ContentType="application/vnd.openxmlformats-officedocument.wordprocessingml.endnotes+xml"/>
  <Override PartName="/word/footnotes.xml" ContentType="application/vnd.openxmlformats-officedocument.wordprocessingml.footnotes+xml"/>
  <Override PartName="/word/numbering.xml" ContentType="application/vnd.openxmlformats-officedocument.wordprocessingml.numbering+xml"/>
  <Override PartName="/word/styles.xml" ContentType="application/vnd.openxmlformats-officedocument.wordprocessingml.styles+xml"/>
  <Override PartName="/word/document.xml" ContentType="application/vnd.openxmlformats-officedocument.wordprocessingml.document.main+xml"/>
  <Override PartName="/docProps/app.xml" ContentType="application/vnd.openxmlformats-officedocument.extended-properties+xml"/>
  <Override PartName="/docProps/custom.xml" ContentType="application/vnd.openxmlformats-officedocument.custom-properties+xml"/>
  <Override PartName="/docProps/core.xml" ContentType="application/vnd.openxmlformats-package.core-properties+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a="http://schemas.openxmlformats.org/drawingml/2006/main" xmlns:dgm="http://schemas.openxmlformats.org/drawingml/2006/diagram" mc:Ignorable="w14 wp14 ">
  <w:body>
    <w:p w14:paraId="00000005">
      <w:pPr>
        <w:spacing w:before="0" w:beforeAutospacing="0" w:after="80" w:afterAutospacing="0"/>
        <w:rPr/>
      </w:pPr>
      <w:r>
        <w:rPr>
          <w:rFonts w:ascii="Arial" w:cs="Arial" w:eastAsia="Arial" w:hAnsi="Arial"/>
          <w:caps/>
          <w:color w:val="999999"/>
          <w:sz w:val="18"/>
          <w:szCs w:val="18"/>
        </w:rPr>
        <w:t>THOUGHT LEADERSHIP  |  AI GOVERNANCE</w:t>
      </w:r>
    </w:p>
    <w:p w14:paraId="00000006">
      <w:pPr>
        <w:pBdr>
          <w:bottom w:val="single" w:color="e94560" w:sz="6" w:space="1"/>
        </w:pBdr>
        <w:spacing w:before="200" w:beforeAutospacing="0" w:after="200" w:afterAutospacing="0"/>
        <w:rPr/>
      </w:pPr>
    </w:p>
    <w:p w14:paraId="00000007">
      <w:pPr>
        <w:pStyle w:val="Heading1"/>
        <w:spacing w:before="200" w:beforeAutospacing="0" w:after="120" w:afterAutospacing="0"/>
        <w:rPr/>
      </w:pPr>
      <w:r>
        <w:rPr>
          <w:rFonts w:ascii="Georgia" w:cs="Georgia" w:eastAsia="Georgia" w:hAnsi="Georgia"/>
          <w:b/>
          <w:bCs/>
          <w:color w:val="1a1a2e"/>
          <w:sz w:val="44"/>
          <w:szCs w:val="44"/>
        </w:rPr>
        <w:t>The Regulation is Already Here.</w:t>
      </w:r>
    </w:p>
    <w:p w14:paraId="00000008">
      <w:pPr>
        <w:pStyle w:val="Heading1"/>
        <w:spacing w:before="0" w:beforeAutospacing="0" w:after="240" w:afterAutospacing="0"/>
        <w:rPr/>
      </w:pPr>
      <w:r>
        <w:rPr>
          <w:rFonts w:ascii="Georgia" w:cs="Georgia" w:eastAsia="Georgia" w:hAnsi="Georgia"/>
          <w:b/>
          <w:bCs/>
          <w:color w:val="0f3460"/>
          <w:sz w:val="44"/>
          <w:szCs w:val="44"/>
        </w:rPr>
        <w:t>Most UK Businesses Just Don't Know It Yet.</w:t>
      </w:r>
    </w:p>
    <w:p w14:paraId="00000009">
      <w:pPr>
        <w:spacing w:before="0" w:beforeAutospacing="0" w:after="360" w:afterAutospacing="0"/>
        <w:rPr/>
      </w:pPr>
      <w:r>
        <w:rPr>
          <w:rFonts w:ascii="Arial" w:cs="Arial" w:eastAsia="Arial" w:hAnsi="Arial"/>
          <w:i/>
          <w:iCs/>
          <w:color w:val="888888"/>
          <w:sz w:val="20"/>
          <w:szCs w:val="20"/>
        </w:rPr>
        <w:t>Human Heartbeat AI  |  June 2026</w:t>
      </w:r>
    </w:p>
    <w:p w14:paraId="0000000A">
      <w:pPr>
        <w:pBdr>
          <w:bottom w:val="single" w:color="e94560" w:sz="6" w:space="1"/>
        </w:pBdr>
        <w:spacing w:before="200" w:beforeAutospacing="0" w:after="200" w:afterAutospacing="0"/>
        <w:rPr/>
      </w:pPr>
    </w:p>
    <w:p w14:paraId="0000000B">
      <w:pPr>
        <w:spacing w:before="0" w:beforeAutospacing="0" w:after="180" w:afterAutospacing="0"/>
        <w:rPr/>
      </w:pPr>
      <w:r>
        <w:rPr>
          <w:rFonts w:ascii="Arial" w:cs="Arial" w:eastAsia="Arial" w:hAnsi="Arial"/>
          <w:b w:val="off"/>
          <w:bCs w:val="off"/>
          <w:i w:val="off"/>
          <w:iCs w:val="off"/>
          <w:color w:val="222222"/>
          <w:sz w:val="22"/>
          <w:szCs w:val="22"/>
        </w:rPr>
        <w:t>AI is already entering your business. The question is no longer whether it will. The question is whether anyone is governing it.</w:t>
      </w:r>
    </w:p>
    <w:p w14:paraId="0000000C">
      <w:pPr>
        <w:spacing w:before="0" w:beforeAutospacing="0" w:after="180" w:afterAutospacing="0"/>
        <w:rPr/>
      </w:pPr>
      <w:r>
        <w:rPr>
          <w:rFonts w:ascii="Arial" w:cs="Arial" w:eastAsia="Arial" w:hAnsi="Arial"/>
          <w:b w:val="off"/>
          <w:bCs w:val="off"/>
          <w:i w:val="off"/>
          <w:iCs w:val="off"/>
          <w:color w:val="222222"/>
          <w:sz w:val="22"/>
          <w:szCs w:val="22"/>
        </w:rPr>
        <w:t>That question just got significantly more urgent.</w:t>
      </w:r>
    </w:p>
    <w:p w14:paraId="0000000D">
      <w:pPr>
        <w:spacing w:before="0" w:beforeAutospacing="0" w:after="180" w:afterAutospacing="0"/>
        <w:rPr/>
      </w:pPr>
      <w:r>
        <w:rPr>
          <w:rFonts w:ascii="Arial" w:cs="Arial" w:eastAsia="Arial" w:hAnsi="Arial"/>
          <w:b w:val="off"/>
          <w:bCs w:val="off"/>
          <w:i w:val="off"/>
          <w:iCs w:val="off"/>
          <w:color w:val="222222"/>
          <w:sz w:val="22"/>
          <w:szCs w:val="22"/>
        </w:rPr>
        <w:t>The EU AI Act — the world's first comprehensive regulatory framework for artificial intelligence — is not a future concern. It is live, partially in force, and its reach extends well beyond EU borders. If your business uses AI and any part of that output touches the EU, you may already be within scope. And the penalties for getting this wrong are not theoretical. They run to €35 million, or 7% of global annual turnover.</w:t>
      </w:r>
    </w:p>
    <w:p w14:paraId="0000000E">
      <w:pPr>
        <w:spacing w:before="0" w:beforeAutospacing="0" w:after="180" w:afterAutospacing="0"/>
        <w:rPr/>
      </w:pPr>
      <w:r>
        <w:rPr>
          <w:rFonts w:ascii="Arial" w:cs="Arial" w:eastAsia="Arial" w:hAnsi="Arial"/>
          <w:b w:val="off"/>
          <w:bCs w:val="off"/>
          <w:i w:val="off"/>
          <w:iCs w:val="off"/>
          <w:color w:val="222222"/>
          <w:sz w:val="22"/>
          <w:szCs w:val="22"/>
        </w:rPr>
        <w:t>At Human Heartbeat AI, we have been building AI governance into our work from the beginning. Not because regulation forced us to. Because we have always believed that AI without human accountability is AI without a foundation.</w:t>
      </w:r>
    </w:p>
    <w:p w14:paraId="0000000F">
      <w:pPr>
        <w:spacing w:before="0" w:beforeAutospacing="0" w:after="180" w:afterAutospacing="0"/>
        <w:rPr/>
      </w:pPr>
      <w:r>
        <w:rPr>
          <w:rFonts w:ascii="Arial" w:cs="Arial" w:eastAsia="Arial" w:hAnsi="Arial"/>
          <w:b w:val="off"/>
          <w:bCs w:val="off"/>
          <w:i w:val="off"/>
          <w:iCs w:val="off"/>
          <w:color w:val="222222"/>
          <w:sz w:val="22"/>
          <w:szCs w:val="22"/>
        </w:rPr>
        <w:t>Here is what UK business owners need to understand right now.</w:t>
      </w:r>
    </w:p>
    <w:p w14:paraId="00000010"/>
    <w:p w14:paraId="00000011">
      <w:pPr>
        <w:pStyle w:val="Heading2"/>
        <w:spacing w:before="320" w:beforeAutospacing="0" w:after="160" w:afterAutospacing="0"/>
        <w:rPr/>
      </w:pPr>
      <w:r>
        <w:rPr>
          <w:rFonts w:ascii="Georgia" w:cs="Georgia" w:eastAsia="Georgia" w:hAnsi="Georgia"/>
          <w:b/>
          <w:bCs/>
          <w:color w:val="1a1a2e"/>
          <w:sz w:val="28"/>
          <w:szCs w:val="28"/>
        </w:rPr>
        <w:t>The Act Is Not a Future Problem</w:t>
      </w:r>
    </w:p>
    <w:p w14:paraId="00000012">
      <w:pPr>
        <w:spacing w:before="0" w:beforeAutospacing="0" w:after="180" w:afterAutospacing="0"/>
        <w:rPr/>
      </w:pPr>
      <w:r>
        <w:rPr>
          <w:rFonts w:ascii="Arial" w:cs="Arial" w:eastAsia="Arial" w:hAnsi="Arial"/>
          <w:b w:val="off"/>
          <w:bCs w:val="off"/>
          <w:i w:val="off"/>
          <w:iCs w:val="off"/>
          <w:color w:val="222222"/>
          <w:sz w:val="22"/>
          <w:szCs w:val="22"/>
        </w:rPr>
        <w:t>The EU AI Act came into force on 1 August 2024. It does not apply all at once — it rolls in phases — but several provisions are already enforceable today.</w:t>
      </w:r>
    </w:p>
    <w:p w14:paraId="00000013">
      <w:pPr>
        <w:spacing w:before="0" w:beforeAutospacing="0" w:after="180" w:afterAutospacing="0"/>
        <w:rPr/>
      </w:pPr>
      <w:r>
        <w:rPr>
          <w:rFonts w:ascii="Arial" w:cs="Arial" w:eastAsia="Arial" w:hAnsi="Arial"/>
          <w:b w:val="off"/>
          <w:bCs w:val="off"/>
          <w:i w:val="off"/>
          <w:iCs w:val="off"/>
          <w:color w:val="222222"/>
          <w:sz w:val="22"/>
          <w:szCs w:val="22"/>
        </w:rPr>
        <w:t>Since 2 February 2025, AI systems classified as posing ‘unacceptable risk’ have been banned outright. This includes AI that uses subliminal manipulation, infers emotions in workplaces or educational settings (outside medical contexts), or exploits vulnerable groups. These prohibitions are live. The fines attached to them — up to €35 million or 7% of worldwide turnover — are enforceable now.</w:t>
      </w:r>
    </w:p>
    <w:p w14:paraId="00000014">
      <w:pPr>
        <w:spacing w:before="0" w:beforeAutospacing="0" w:after="180" w:afterAutospacing="0"/>
        <w:rPr/>
      </w:pPr>
      <w:r>
        <w:rPr>
          <w:rFonts w:ascii="Arial" w:cs="Arial" w:eastAsia="Arial" w:hAnsi="Arial"/>
          <w:b w:val="off"/>
          <w:bCs w:val="off"/>
          <w:i w:val="off"/>
          <w:iCs w:val="off"/>
          <w:color w:val="222222"/>
          <w:sz w:val="22"/>
          <w:szCs w:val="22"/>
        </w:rPr>
        <w:t>Also active since February 2025: the AI literacy obligation. Every organisation that uses or deploys AI systems must ensure that the people operating those systems have a sufficient level of AI literacy. Not training for training's sake. Genuine, documented competence. This is not aspirational. It is a legal obligation.</w:t>
      </w:r>
    </w:p>
    <w:p w14:paraId="00000015">
      <w:pPr>
        <w:pBdr>
          <w:left w:val="thick" w:color="e94560" w:sz="20" w:space="6"/>
        </w:pBdr>
        <w:spacing w:before="240" w:beforeAutospacing="0" w:after="240" w:afterAutospacing="0"/>
        <w:ind w:left="720" w:right="720"/>
        <w:rPr/>
      </w:pPr>
      <w:r>
        <w:rPr>
          <w:rFonts w:ascii="Georgia" w:cs="Georgia" w:eastAsia="Georgia" w:hAnsi="Georgia"/>
          <w:i/>
          <w:iCs/>
          <w:color w:val="0f3460"/>
          <w:sz w:val="24"/>
          <w:szCs w:val="24"/>
        </w:rPr>
        <w:t>The danger is not that your team uses AI. The danger is that nobody knows where, why, or how it is already influencing decisions.</w:t>
      </w:r>
    </w:p>
    <w:p w14:paraId="00000016"/>
    <w:p w14:paraId="00000017">
      <w:pPr>
        <w:pStyle w:val="Heading2"/>
        <w:spacing w:before="320" w:beforeAutospacing="0" w:after="160" w:afterAutospacing="0"/>
        <w:rPr/>
      </w:pPr>
      <w:r>
        <w:rPr>
          <w:rFonts w:ascii="Georgia" w:cs="Georgia" w:eastAsia="Georgia" w:hAnsi="Georgia"/>
          <w:b/>
          <w:bCs/>
          <w:color w:val="1a1a2e"/>
          <w:sz w:val="28"/>
          <w:szCs w:val="28"/>
        </w:rPr>
        <w:t>You Do Not Need to Be in the EU to Be in Scope</w:t>
      </w:r>
    </w:p>
    <w:p w14:paraId="00000018">
      <w:pPr>
        <w:spacing w:before="0" w:beforeAutospacing="0" w:after="180" w:afterAutospacing="0"/>
        <w:rPr/>
      </w:pPr>
      <w:r>
        <w:rPr>
          <w:rFonts w:ascii="Arial" w:cs="Arial" w:eastAsia="Arial" w:hAnsi="Arial"/>
          <w:b w:val="off"/>
          <w:bCs w:val="off"/>
          <w:i w:val="off"/>
          <w:iCs w:val="off"/>
          <w:color w:val="222222"/>
          <w:sz w:val="22"/>
          <w:szCs w:val="22"/>
        </w:rPr>
        <w:t>One of the most misunderstood aspects of the EU AI Act is its extraterritorial reach. Brexit does not exempt UK businesses. The Act treats UK companies identically to any other third-country organisation.</w:t>
      </w:r>
    </w:p>
    <w:p w14:paraId="00000019">
      <w:pPr>
        <w:spacing w:before="0" w:beforeAutospacing="0" w:after="180" w:afterAutospacing="0"/>
        <w:rPr/>
      </w:pPr>
      <w:r>
        <w:rPr>
          <w:rFonts w:ascii="Arial" w:cs="Arial" w:eastAsia="Arial" w:hAnsi="Arial"/>
          <w:b w:val="off"/>
          <w:bCs w:val="off"/>
          <w:i w:val="off"/>
          <w:iCs w:val="off"/>
          <w:color w:val="222222"/>
          <w:sz w:val="22"/>
          <w:szCs w:val="22"/>
        </w:rPr>
        <w:t>You are potentially in scope if:</w:t>
      </w:r>
    </w:p>
    <w:p w14:paraId="0000001A">
      <w:pPr>
        <w:pStyle w:val="ListParagraph"/>
        <w:numPr>
          <w:ilvl w:val="0"/>
          <w:numId w:val="2"/>
        </w:numPr>
        <w:spacing w:before="60" w:beforeAutospacing="0" w:after="60" w:afterAutospacing="0"/>
        <w:rPr/>
      </w:pPr>
      <w:r>
        <w:rPr>
          <w:rFonts w:ascii="Arial" w:cs="Arial" w:eastAsia="Arial" w:hAnsi="Arial"/>
          <w:color w:val="222222"/>
          <w:sz w:val="22"/>
          <w:szCs w:val="22"/>
        </w:rPr>
        <w:t>You develop or supply AI systems that are made available on the EU market</w:t>
      </w:r>
    </w:p>
    <w:p w14:paraId="0000001B">
      <w:pPr>
        <w:pStyle w:val="ListParagraph"/>
        <w:numPr>
          <w:ilvl w:val="0"/>
          <w:numId w:val="2"/>
        </w:numPr>
        <w:spacing w:before="60" w:beforeAutospacing="0" w:after="60" w:afterAutospacing="0"/>
        <w:rPr/>
      </w:pPr>
      <w:r>
        <w:rPr>
          <w:rFonts w:ascii="Arial" w:cs="Arial" w:eastAsia="Arial" w:hAnsi="Arial"/>
          <w:color w:val="222222"/>
          <w:sz w:val="22"/>
          <w:szCs w:val="22"/>
        </w:rPr>
        <w:t>You use AI in the UK and the output of that AI is used in the EU — even indirectly</w:t>
      </w:r>
    </w:p>
    <w:p w14:paraId="0000001C">
      <w:pPr>
        <w:pStyle w:val="ListParagraph"/>
        <w:numPr>
          <w:ilvl w:val="0"/>
          <w:numId w:val="2"/>
        </w:numPr>
        <w:spacing w:before="60" w:beforeAutospacing="0" w:after="60" w:afterAutospacing="0"/>
        <w:rPr/>
      </w:pPr>
      <w:r>
        <w:rPr>
          <w:rFonts w:ascii="Arial" w:cs="Arial" w:eastAsia="Arial" w:hAnsi="Arial"/>
          <w:color w:val="222222"/>
          <w:sz w:val="22"/>
          <w:szCs w:val="22"/>
        </w:rPr>
        <w:t>You are a professional services firm, agency, consultancy, or creative business serving EU-based clients</w:t>
      </w:r>
    </w:p>
    <w:p w14:paraId="0000001D">
      <w:pPr>
        <w:pStyle w:val="ListParagraph"/>
        <w:numPr>
          <w:ilvl w:val="0"/>
          <w:numId w:val="2"/>
        </w:numPr>
        <w:spacing w:before="60" w:beforeAutospacing="0" w:after="60" w:afterAutospacing="0"/>
        <w:rPr/>
      </w:pPr>
      <w:r>
        <w:rPr>
          <w:rFonts w:ascii="Arial" w:cs="Arial" w:eastAsia="Arial" w:hAnsi="Arial"/>
          <w:color w:val="222222"/>
          <w:sz w:val="22"/>
          <w:szCs w:val="22"/>
        </w:rPr>
        <w:t>You use AI in customer communications that include EU recipients</w:t>
      </w:r>
    </w:p>
    <w:p w14:paraId="0000001E">
      <w:pPr>
        <w:spacing w:before="0" w:beforeAutospacing="0" w:after="0" w:afterAutospacing="0"/>
        <w:rPr/>
      </w:pPr>
    </w:p>
    <w:p w14:paraId="0000001F">
      <w:pPr>
        <w:spacing w:before="0" w:beforeAutospacing="0" w:after="180" w:afterAutospacing="0"/>
        <w:rPr/>
      </w:pPr>
      <w:r>
        <w:rPr>
          <w:rFonts w:ascii="Arial" w:cs="Arial" w:eastAsia="Arial" w:hAnsi="Arial"/>
          <w:b w:val="off"/>
          <w:bCs w:val="off"/>
          <w:i w:val="off"/>
          <w:iCs w:val="off"/>
          <w:color w:val="222222"/>
          <w:sz w:val="22"/>
          <w:szCs w:val="22"/>
        </w:rPr>
        <w:t>The critical word here is output. The Act catches you not just when you sell AI, but when the results of your AI use end up in the EU. A legal firm drafting an advice note using AI for a UK client, which that client then shares with their German subsidiary, may fall within scope. An agency producing AI-generated content for a campaign that runs in France and Germany almost certainly does.</w:t>
      </w:r>
    </w:p>
    <w:p w14:paraId="00000020">
      <w:pPr>
        <w:spacing w:before="0" w:beforeAutospacing="0" w:after="180" w:afterAutospacing="0"/>
        <w:rPr/>
      </w:pPr>
      <w:r>
        <w:rPr>
          <w:rFonts w:ascii="Arial" w:cs="Arial" w:eastAsia="Arial" w:hAnsi="Arial"/>
          <w:b w:val="off"/>
          <w:bCs w:val="off"/>
          <w:i w:val="off"/>
          <w:iCs w:val="off"/>
          <w:color w:val="222222"/>
          <w:sz w:val="22"/>
          <w:szCs w:val="22"/>
        </w:rPr>
        <w:t>There is a further complication. The legally binding provisions of the Act make no reference to intent. Whether you knew your AI output would reach the EU is not a statutory defence. Strict reading of the Act means a wide and growing number of UK businesses could find themselves in scope, whether or not they planned it.</w:t>
      </w:r>
    </w:p>
    <w:p w14:paraId="00000021">
      <w:pPr>
        <w:pBdr>
          <w:left w:val="thick" w:color="e94560" w:sz="20" w:space="6"/>
        </w:pBdr>
        <w:spacing w:before="240" w:beforeAutospacing="0" w:after="240" w:afterAutospacing="0"/>
        <w:ind w:left="720" w:right="720"/>
        <w:rPr/>
      </w:pPr>
      <w:r>
        <w:rPr>
          <w:rFonts w:ascii="Georgia" w:cs="Georgia" w:eastAsia="Georgia" w:hAnsi="Georgia"/>
          <w:i/>
          <w:iCs/>
          <w:color w:val="0f3460"/>
          <w:sz w:val="24"/>
          <w:szCs w:val="24"/>
        </w:rPr>
        <w:t>Before you automate, you need to know what you are automating, why it matters, what could break, and who remains accountable.</w:t>
      </w:r>
    </w:p>
    <w:p w14:paraId="00000022"/>
    <w:p w14:paraId="00000023">
      <w:pPr>
        <w:pStyle w:val="Heading2"/>
        <w:spacing w:before="320" w:beforeAutospacing="0" w:after="160" w:afterAutospacing="0"/>
        <w:rPr/>
      </w:pPr>
      <w:r>
        <w:rPr>
          <w:rFonts w:ascii="Georgia" w:cs="Georgia" w:eastAsia="Georgia" w:hAnsi="Georgia"/>
          <w:b/>
          <w:bCs/>
          <w:color w:val="1a1a2e"/>
          <w:sz w:val="28"/>
          <w:szCs w:val="28"/>
        </w:rPr>
        <w:t>What the Penalties Actually Look Like</w:t>
      </w:r>
    </w:p>
    <w:p w14:paraId="00000024">
      <w:pPr>
        <w:spacing w:before="0" w:beforeAutospacing="0" w:after="180" w:afterAutospacing="0"/>
        <w:rPr/>
      </w:pPr>
      <w:r>
        <w:rPr>
          <w:rFonts w:ascii="Arial" w:cs="Arial" w:eastAsia="Arial" w:hAnsi="Arial"/>
          <w:b w:val="off"/>
          <w:bCs w:val="off"/>
          <w:i w:val="off"/>
          <w:iCs w:val="off"/>
          <w:color w:val="222222"/>
          <w:sz w:val="22"/>
          <w:szCs w:val="22"/>
        </w:rPr>
        <w:t>The EU AI Act operates on three penalty tiers. It is worth understanding each.</w:t>
      </w:r>
    </w:p>
    <w:p w14:paraId="00000025">
      <w:pPr>
        <w:spacing w:before="0" w:beforeAutospacing="0" w:after="180" w:afterAutospacing="0"/>
        <w:rPr/>
      </w:pPr>
      <w:r>
        <w:rPr>
          <w:rFonts w:ascii="Arial" w:cs="Arial" w:eastAsia="Arial" w:hAnsi="Arial"/>
          <w:b w:val="off"/>
          <w:bCs w:val="off"/>
          <w:i w:val="off"/>
          <w:iCs w:val="off"/>
          <w:color w:val="222222"/>
          <w:sz w:val="22"/>
          <w:szCs w:val="22"/>
        </w:rPr>
        <w:t>The most serious tier applies to prohibited AI practices. Breaches here attract fines of up to €35 million or 7% of global annual turnover, whichever is higher. These prohibitions have been enforceable since February 2025.</w:t>
      </w:r>
    </w:p>
    <w:p w14:paraId="00000026">
      <w:pPr>
        <w:spacing w:before="0" w:beforeAutospacing="0" w:after="180" w:afterAutospacing="0"/>
        <w:rPr/>
      </w:pPr>
      <w:r>
        <w:rPr>
          <w:rFonts w:ascii="Arial" w:cs="Arial" w:eastAsia="Arial" w:hAnsi="Arial"/>
          <w:b w:val="off"/>
          <w:bCs w:val="off"/>
          <w:i w:val="off"/>
          <w:iCs w:val="off"/>
          <w:color w:val="222222"/>
          <w:sz w:val="22"/>
          <w:szCs w:val="22"/>
        </w:rPr>
        <w:t>The second tier applies to high-risk AI systems — those used in employment, education, critical infrastructure, biometrics, and related areas. Fines here reach up to €15 million or 3% of global annual turnover. Compliance requirements for most high-risk systems originally applied from August 2026 but, following a political agreement reached on 7 May 2026, the enforcement dates have been extended — to December 2027 for standalone high-risk systems and August 2028 for those embedded in regulated products. This provides some breathing room, though the expectation is that preparation should already be underway.</w:t>
      </w:r>
    </w:p>
    <w:p w14:paraId="00000027">
      <w:pPr>
        <w:spacing w:before="0" w:beforeAutospacing="0" w:after="180" w:afterAutospacing="0"/>
        <w:rPr/>
      </w:pPr>
      <w:r>
        <w:rPr>
          <w:rFonts w:ascii="Arial" w:cs="Arial" w:eastAsia="Arial" w:hAnsi="Arial"/>
          <w:b w:val="off"/>
          <w:bCs w:val="off"/>
          <w:i w:val="off"/>
          <w:iCs w:val="off"/>
          <w:color w:val="222222"/>
          <w:sz w:val="22"/>
          <w:szCs w:val="22"/>
        </w:rPr>
        <w:t>A third tier — which the original Farrer &amp; Co analysis did not include — applies to providing false or misleading information to regulators. This attracts fines of up to €7.5 million or 1% of global turnover. It is worth knowing this exists.</w:t>
      </w:r>
    </w:p>
    <w:p w14:paraId="00000028">
      <w:pPr>
        <w:spacing w:before="0" w:beforeAutospacing="0" w:after="180" w:afterAutospacing="0"/>
        <w:rPr/>
      </w:pPr>
      <w:r>
        <w:rPr>
          <w:rFonts w:ascii="Arial" w:cs="Arial" w:eastAsia="Arial" w:hAnsi="Arial"/>
          <w:b w:val="off"/>
          <w:bCs w:val="off"/>
          <w:i w:val="off"/>
          <w:iCs w:val="off"/>
          <w:color w:val="222222"/>
          <w:sz w:val="22"/>
          <w:szCs w:val="22"/>
        </w:rPr>
        <w:t>Enforcement against UK-based businesses that have no EU presence will face practical complexities. But organisations with EU clients, EU data flows, or products on the EU market should not assume enforcement will not reach them.</w:t>
      </w:r>
    </w:p>
    <w:p w14:paraId="00000029"/>
    <w:p w14:paraId="0000002A">
      <w:pPr>
        <w:pStyle w:val="Heading2"/>
        <w:spacing w:before="320" w:beforeAutospacing="0" w:after="160" w:afterAutospacing="0"/>
        <w:rPr/>
      </w:pPr>
      <w:r>
        <w:rPr>
          <w:rFonts w:ascii="Georgia" w:cs="Georgia" w:eastAsia="Georgia" w:hAnsi="Georgia"/>
          <w:b/>
          <w:bCs/>
          <w:color w:val="1a1a2e"/>
          <w:sz w:val="28"/>
          <w:szCs w:val="28"/>
        </w:rPr>
        <w:t>The UK’s Own Position: A Gap in the Market</w:t>
      </w:r>
    </w:p>
    <w:p w14:paraId="0000002B">
      <w:pPr>
        <w:spacing w:before="0" w:beforeAutospacing="0" w:after="180" w:afterAutospacing="0"/>
        <w:rPr/>
      </w:pPr>
      <w:r>
        <w:rPr>
          <w:rFonts w:ascii="Arial" w:cs="Arial" w:eastAsia="Arial" w:hAnsi="Arial"/>
          <w:b w:val="off"/>
          <w:bCs w:val="off"/>
          <w:i w:val="off"/>
          <w:iCs w:val="off"/>
          <w:color w:val="222222"/>
          <w:sz w:val="22"/>
          <w:szCs w:val="22"/>
        </w:rPr>
        <w:t>The UK does not yet have a single AI-specific law. The government’s current approach is principles-based and sector-led: the ICO, the FCA, Ofcom, and other regulators apply broad cross-sector AI principles within their domains. The expectation is that organisations self-govern proportionately.</w:t>
      </w:r>
    </w:p>
    <w:p w14:paraId="0000002C">
      <w:pPr>
        <w:spacing w:before="0" w:beforeAutospacing="0" w:after="180" w:afterAutospacing="0"/>
        <w:rPr/>
      </w:pPr>
      <w:r>
        <w:rPr>
          <w:rFonts w:ascii="Arial" w:cs="Arial" w:eastAsia="Arial" w:hAnsi="Arial"/>
          <w:b w:val="off"/>
          <w:bCs w:val="off"/>
          <w:i w:val="off"/>
          <w:iCs w:val="off"/>
          <w:color w:val="222222"/>
          <w:sz w:val="22"/>
          <w:szCs w:val="22"/>
        </w:rPr>
        <w:t>For SME owners, this creates a deceptive sense of safety. There is no single compliance checklist. No registration process. No formal deadline. Just an expectation of proportionate, self-directed governance.</w:t>
      </w:r>
    </w:p>
    <w:p w14:paraId="0000002D">
      <w:pPr>
        <w:spacing w:before="0" w:beforeAutospacing="0" w:after="180" w:afterAutospacing="0"/>
        <w:rPr/>
      </w:pPr>
      <w:r>
        <w:rPr>
          <w:rFonts w:ascii="Arial" w:cs="Arial" w:eastAsia="Arial" w:hAnsi="Arial"/>
          <w:b w:val="off"/>
          <w:bCs w:val="off"/>
          <w:i w:val="off"/>
          <w:iCs w:val="off"/>
          <w:color w:val="222222"/>
          <w:sz w:val="22"/>
          <w:szCs w:val="22"/>
        </w:rPr>
        <w:t>And yet, 28% of UK SMEs identify data and AI as their top digitalisation priority in 2026 — while compliance and governance rank lowest for future digital investment. The gap between adoption and accountability is widening every week.</w:t>
      </w:r>
    </w:p>
    <w:p w14:paraId="0000002E">
      <w:pPr>
        <w:spacing w:before="0" w:beforeAutospacing="0" w:after="180" w:afterAutospacing="0"/>
        <w:rPr/>
      </w:pPr>
      <w:r>
        <w:rPr>
          <w:rFonts w:ascii="Arial" w:cs="Arial" w:eastAsia="Arial" w:hAnsi="Arial"/>
          <w:b w:val="off"/>
          <w:bCs w:val="off"/>
          <w:i w:val="off"/>
          <w:iCs w:val="off"/>
          <w:color w:val="222222"/>
          <w:sz w:val="22"/>
          <w:szCs w:val="22"/>
        </w:rPr>
        <w:t>This is exactly the environment in which quiet harm happens. Not through recklessness, but through a lack of structure. AI is being adopted at speed, by people who genuinely want it to improve their business, without anyone asking the questions that governance requires.</w:t>
      </w:r>
    </w:p>
    <w:p w14:paraId="0000002F">
      <w:pPr>
        <w:pBdr>
          <w:left w:val="thick" w:color="e94560" w:sz="20" w:space="6"/>
        </w:pBdr>
        <w:spacing w:before="240" w:beforeAutospacing="0" w:after="240" w:afterAutospacing="0"/>
        <w:ind w:left="720" w:right="720"/>
        <w:rPr/>
      </w:pPr>
      <w:r>
        <w:rPr>
          <w:rFonts w:ascii="Georgia" w:cs="Georgia" w:eastAsia="Georgia" w:hAnsi="Georgia"/>
          <w:i/>
          <w:iCs/>
          <w:color w:val="0f3460"/>
          <w:sz w:val="24"/>
          <w:szCs w:val="24"/>
        </w:rPr>
        <w:t>AI adoption is not a software decision. It is an operating decision.</w:t>
      </w:r>
    </w:p>
    <w:p w14:paraId="00000030"/>
    <w:p w14:paraId="00000031">
      <w:pPr>
        <w:pStyle w:val="Heading2"/>
        <w:spacing w:before="320" w:beforeAutospacing="0" w:after="160" w:afterAutospacing="0"/>
        <w:rPr/>
      </w:pPr>
      <w:r>
        <w:rPr>
          <w:rFonts w:ascii="Georgia" w:cs="Georgia" w:eastAsia="Georgia" w:hAnsi="Georgia"/>
          <w:b/>
          <w:bCs/>
          <w:color w:val="1a1a2e"/>
          <w:sz w:val="28"/>
          <w:szCs w:val="28"/>
        </w:rPr>
        <w:t>Why Human Heartbeat AI Built Governance First</w:t>
      </w:r>
    </w:p>
    <w:p w14:paraId="00000032">
      <w:pPr>
        <w:spacing w:before="0" w:beforeAutospacing="0" w:after="180" w:afterAutospacing="0"/>
        <w:rPr/>
      </w:pPr>
      <w:r>
        <w:rPr>
          <w:rFonts w:ascii="Arial" w:cs="Arial" w:eastAsia="Arial" w:hAnsi="Arial"/>
          <w:b w:val="off"/>
          <w:bCs w:val="off"/>
          <w:i w:val="off"/>
          <w:iCs w:val="off"/>
          <w:color w:val="222222"/>
          <w:sz w:val="22"/>
          <w:szCs w:val="22"/>
        </w:rPr>
        <w:t>Human Heartbeat AI was not designed as a reaction to regulation. It was designed because the commercial case for human-led AI governance was always obvious.</w:t>
      </w:r>
    </w:p>
    <w:p w14:paraId="00000033">
      <w:pPr>
        <w:spacing w:before="0" w:beforeAutospacing="0" w:after="180" w:afterAutospacing="0"/>
        <w:rPr/>
      </w:pPr>
      <w:r>
        <w:rPr>
          <w:rFonts w:ascii="Arial" w:cs="Arial" w:eastAsia="Arial" w:hAnsi="Arial"/>
          <w:b w:val="off"/>
          <w:bCs w:val="off"/>
          <w:i w:val="off"/>
          <w:iCs w:val="off"/>
          <w:color w:val="222222"/>
          <w:sz w:val="22"/>
          <w:szCs w:val="22"/>
        </w:rPr>
        <w:t>Businesses that adopt AI without understanding their operating context, their risk exposure, and their decision accountability do not just face regulatory risk. They face operational risk. Quality failures. Staff confusion. Customer trust erosion. Legal exposure that has nothing to do with the EU AI Act.</w:t>
      </w:r>
    </w:p>
    <w:p w14:paraId="00000034">
      <w:pPr>
        <w:spacing w:before="0" w:beforeAutospacing="0" w:after="180" w:afterAutospacing="0"/>
        <w:rPr/>
      </w:pPr>
      <w:r>
        <w:rPr>
          <w:rFonts w:ascii="Arial" w:cs="Arial" w:eastAsia="Arial" w:hAnsi="Arial"/>
          <w:b w:val="off"/>
          <w:bCs w:val="off"/>
          <w:i w:val="off"/>
          <w:iCs w:val="off"/>
          <w:color w:val="222222"/>
          <w:sz w:val="22"/>
          <w:szCs w:val="22"/>
        </w:rPr>
        <w:t>Our approach is diagnostic before it is operational. We do not recommend AI implementation until we understand the business case, the risk, and the human decision points. Every AI Worker we deploy operates within a framework that preserves human authority over the final judgement. That is not a feature. It is the architecture.</w:t>
      </w:r>
    </w:p>
    <w:p w14:paraId="00000035">
      <w:pPr>
        <w:spacing w:before="0" w:beforeAutospacing="0" w:after="180" w:afterAutospacing="0"/>
        <w:rPr/>
      </w:pPr>
      <w:r>
        <w:rPr>
          <w:rFonts w:ascii="Arial" w:cs="Arial" w:eastAsia="Arial" w:hAnsi="Arial"/>
          <w:b w:val="off"/>
          <w:bCs w:val="off"/>
          <w:i w:val="off"/>
          <w:iCs w:val="off"/>
          <w:color w:val="222222"/>
          <w:sz w:val="22"/>
          <w:szCs w:val="22"/>
        </w:rPr>
        <w:t>The OSCAR framework — Observe, Structure, Configure, Activate, Review — is the mechanism through which we map AI use to business operating context before anything is built or automated. It produces the documentation and accountability trail that governance requires. It identifies where human decision gates are non-negotiable. And it creates a record that means, if a regulator ever asks, the business can demonstrate that it took AI adoption seriously.</w:t>
      </w:r>
    </w:p>
    <w:p w14:paraId="00000036">
      <w:pPr>
        <w:spacing w:before="0" w:beforeAutospacing="0" w:after="180" w:afterAutospacing="0"/>
        <w:rPr/>
      </w:pPr>
      <w:r>
        <w:rPr>
          <w:rFonts w:ascii="Arial" w:cs="Arial" w:eastAsia="Arial" w:hAnsi="Arial"/>
          <w:b w:val="off"/>
          <w:bCs w:val="off"/>
          <w:i w:val="off"/>
          <w:iCs w:val="off"/>
          <w:color w:val="222222"/>
          <w:sz w:val="22"/>
          <w:szCs w:val="22"/>
        </w:rPr>
        <w:t>We are not here to alarm anyone. The regulation exists. The exposure is real. But the path through it is clear, and it does not require your business to become a compliance department.</w:t>
      </w:r>
    </w:p>
    <w:p w14:paraId="00000037">
      <w:pPr>
        <w:spacing w:before="0" w:beforeAutospacing="0" w:after="180" w:afterAutospacing="0"/>
        <w:rPr/>
      </w:pPr>
      <w:r>
        <w:rPr>
          <w:rFonts w:ascii="Arial" w:cs="Arial" w:eastAsia="Arial" w:hAnsi="Arial"/>
          <w:b w:val="off"/>
          <w:bCs w:val="off"/>
          <w:i w:val="off"/>
          <w:iCs w:val="off"/>
          <w:color w:val="222222"/>
          <w:sz w:val="22"/>
          <w:szCs w:val="22"/>
        </w:rPr>
        <w:t>It requires you to govern AI the way you would govern any significant operating decision: with clarity about what you are doing, why, and who is accountable.</w:t>
      </w:r>
    </w:p>
    <w:p w14:paraId="00000038">
      <w:pPr>
        <w:pBdr>
          <w:left w:val="thick" w:color="e94560" w:sz="20" w:space="6"/>
        </w:pBdr>
        <w:spacing w:before="240" w:beforeAutospacing="0" w:after="240" w:afterAutospacing="0"/>
        <w:ind w:left="720" w:right="720"/>
        <w:rPr/>
      </w:pPr>
      <w:r>
        <w:rPr>
          <w:rFonts w:ascii="Georgia" w:cs="Georgia" w:eastAsia="Georgia" w:hAnsi="Georgia"/>
          <w:i/>
          <w:iCs/>
          <w:color w:val="0f3460"/>
          <w:sz w:val="24"/>
          <w:szCs w:val="24"/>
        </w:rPr>
        <w:t>AI can surface signals, patterns, options, and pressure points. But the final judgement must remain human. That is not a limitation of AI. That is the standard we hold ourselves to.</w:t>
      </w:r>
    </w:p>
    <w:p w14:paraId="00000039"/>
    <w:p w14:paraId="0000003A">
      <w:pPr>
        <w:pStyle w:val="Heading2"/>
        <w:spacing w:before="320" w:beforeAutospacing="0" w:after="160" w:afterAutospacing="0"/>
        <w:rPr/>
      </w:pPr>
      <w:r>
        <w:rPr>
          <w:rFonts w:ascii="Georgia" w:cs="Georgia" w:eastAsia="Georgia" w:hAnsi="Georgia"/>
          <w:b/>
          <w:bCs/>
          <w:color w:val="1a1a2e"/>
          <w:sz w:val="28"/>
          <w:szCs w:val="28"/>
        </w:rPr>
        <w:t>What UK Business Owners Should Do Now</w:t>
      </w:r>
    </w:p>
    <w:p w14:paraId="0000003B">
      <w:pPr>
        <w:spacing w:before="0" w:beforeAutospacing="0" w:after="180" w:afterAutospacing="0"/>
        <w:rPr/>
      </w:pPr>
      <w:r>
        <w:rPr>
          <w:rFonts w:ascii="Arial" w:cs="Arial" w:eastAsia="Arial" w:hAnsi="Arial"/>
          <w:b w:val="off"/>
          <w:bCs w:val="off"/>
          <w:i w:val="off"/>
          <w:iCs w:val="off"/>
          <w:color w:val="222222"/>
          <w:sz w:val="22"/>
          <w:szCs w:val="22"/>
        </w:rPr>
        <w:t>If you use AI in your business — or if AI is embedded in tools your business relies on — the following questions are worth asking today.</w:t>
      </w:r>
    </w:p>
    <w:p w14:paraId="0000003C">
      <w:pPr>
        <w:pStyle w:val="ListParagraph"/>
        <w:numPr>
          <w:ilvl w:val="0"/>
          <w:numId w:val="2"/>
        </w:numPr>
        <w:spacing w:before="60" w:beforeAutospacing="0" w:after="60" w:afterAutospacing="0"/>
        <w:rPr/>
      </w:pPr>
      <w:r>
        <w:rPr>
          <w:rFonts w:ascii="Arial" w:cs="Arial" w:eastAsia="Arial" w:hAnsi="Arial"/>
          <w:color w:val="222222"/>
          <w:sz w:val="22"/>
          <w:szCs w:val="22"/>
        </w:rPr>
        <w:t>Do any of your AI outputs, directly or indirectly, reach EU clients, partners, or subsidiaries?</w:t>
      </w:r>
    </w:p>
    <w:p w14:paraId="0000003D">
      <w:pPr>
        <w:pStyle w:val="ListParagraph"/>
        <w:numPr>
          <w:ilvl w:val="0"/>
          <w:numId w:val="2"/>
        </w:numPr>
        <w:spacing w:before="60" w:beforeAutospacing="0" w:after="60" w:afterAutospacing="0"/>
        <w:rPr/>
      </w:pPr>
      <w:r>
        <w:rPr>
          <w:rFonts w:ascii="Arial" w:cs="Arial" w:eastAsia="Arial" w:hAnsi="Arial"/>
          <w:color w:val="222222"/>
          <w:sz w:val="22"/>
          <w:szCs w:val="22"/>
        </w:rPr>
        <w:t>Do your staff who use AI have sufficient AI literacy, and can you demonstrate it?</w:t>
      </w:r>
    </w:p>
    <w:p w14:paraId="0000003E">
      <w:pPr>
        <w:pStyle w:val="ListParagraph"/>
        <w:numPr>
          <w:ilvl w:val="0"/>
          <w:numId w:val="2"/>
        </w:numPr>
        <w:spacing w:before="60" w:beforeAutospacing="0" w:after="60" w:afterAutospacing="0"/>
        <w:rPr/>
      </w:pPr>
      <w:r>
        <w:rPr>
          <w:rFonts w:ascii="Arial" w:cs="Arial" w:eastAsia="Arial" w:hAnsi="Arial"/>
          <w:color w:val="222222"/>
          <w:sz w:val="22"/>
          <w:szCs w:val="22"/>
        </w:rPr>
        <w:t>Do your supplier contracts require disclosure of whether AI plays a role in the services they provide?</w:t>
      </w:r>
    </w:p>
    <w:p w14:paraId="0000003F">
      <w:pPr>
        <w:pStyle w:val="ListParagraph"/>
        <w:numPr>
          <w:ilvl w:val="0"/>
          <w:numId w:val="2"/>
        </w:numPr>
        <w:spacing w:before="60" w:beforeAutospacing="0" w:after="60" w:afterAutospacing="0"/>
        <w:rPr/>
      </w:pPr>
      <w:r>
        <w:rPr>
          <w:rFonts w:ascii="Arial" w:cs="Arial" w:eastAsia="Arial" w:hAnsi="Arial"/>
          <w:color w:val="222222"/>
          <w:sz w:val="22"/>
          <w:szCs w:val="22"/>
        </w:rPr>
        <w:t>Do you know which AI uses in your business might be classified as high-risk under the EU Act?</w:t>
      </w:r>
    </w:p>
    <w:p w14:paraId="00000040">
      <w:pPr>
        <w:pStyle w:val="ListParagraph"/>
        <w:numPr>
          <w:ilvl w:val="0"/>
          <w:numId w:val="2"/>
        </w:numPr>
        <w:spacing w:before="60" w:beforeAutospacing="0" w:after="60" w:afterAutospacing="0"/>
        <w:rPr/>
      </w:pPr>
      <w:r>
        <w:rPr>
          <w:rFonts w:ascii="Arial" w:cs="Arial" w:eastAsia="Arial" w:hAnsi="Arial"/>
          <w:color w:val="222222"/>
          <w:sz w:val="22"/>
          <w:szCs w:val="22"/>
        </w:rPr>
        <w:t>Is there a human decision gate in place wherever AI influences significant business or client outcomes?</w:t>
      </w:r>
    </w:p>
    <w:p w14:paraId="00000041">
      <w:pPr>
        <w:spacing w:before="160" w:beforeAutospacing="0" w:after="0" w:afterAutospacing="0"/>
        <w:rPr/>
      </w:pPr>
    </w:p>
    <w:p w14:paraId="00000042">
      <w:pPr>
        <w:spacing w:before="0" w:beforeAutospacing="0" w:after="180" w:afterAutospacing="0"/>
        <w:rPr/>
      </w:pPr>
      <w:r>
        <w:rPr>
          <w:rFonts w:ascii="Arial" w:cs="Arial" w:eastAsia="Arial" w:hAnsi="Arial"/>
          <w:b w:val="off"/>
          <w:bCs w:val="off"/>
          <w:i w:val="off"/>
          <w:iCs w:val="off"/>
          <w:color w:val="222222"/>
          <w:sz w:val="22"/>
          <w:szCs w:val="22"/>
        </w:rPr>
        <w:t>If you cannot answer these questions with confidence, you are not alone. Most UK SMEs cannot. But the gap between those who can and those who cannot is beginning to have commercial and legal consequences.</w:t>
      </w:r>
    </w:p>
    <w:p w14:paraId="00000043">
      <w:pPr>
        <w:spacing w:before="0" w:beforeAutospacing="0" w:after="180" w:afterAutospacing="0"/>
        <w:rPr/>
      </w:pPr>
      <w:r>
        <w:rPr>
          <w:rFonts w:ascii="Arial" w:cs="Arial" w:eastAsia="Arial" w:hAnsi="Arial"/>
          <w:b w:val="off"/>
          <w:bCs w:val="off"/>
          <w:i w:val="off"/>
          <w:iCs w:val="off"/>
          <w:color w:val="222222"/>
          <w:sz w:val="22"/>
          <w:szCs w:val="22"/>
        </w:rPr>
        <w:t>Human Heartbeat AI exists to close that gap. Not through complexity, and not through alarm. Through a disciplined, diagnostic, human-first approach to AI adoption that happens to be exactly what responsible governance requires.</w:t>
      </w:r>
    </w:p>
    <w:p w14:paraId="00000044"/>
    <w:p w14:paraId="00000045">
      <w:pPr>
        <w:pBdr>
          <w:bottom w:val="single" w:color="e94560" w:sz="6" w:space="1"/>
        </w:pBdr>
        <w:spacing w:before="200" w:beforeAutospacing="0" w:after="200" w:afterAutospacing="0"/>
        <w:rPr/>
      </w:pPr>
    </w:p>
    <w:p w14:paraId="00000046">
      <w:pPr>
        <w:spacing w:before="240" w:beforeAutospacing="0" w:after="120" w:afterAutospacing="0"/>
        <w:rPr/>
      </w:pPr>
      <w:r>
        <w:rPr>
          <w:rFonts w:ascii="Georgia" w:cs="Georgia" w:eastAsia="Georgia" w:hAnsi="Georgia"/>
          <w:b/>
          <w:bCs/>
          <w:color w:val="1a1a2e"/>
          <w:sz w:val="22"/>
          <w:szCs w:val="22"/>
        </w:rPr>
        <w:t>About Human Heartbeat AI</w:t>
      </w:r>
    </w:p>
    <w:p w14:paraId="00000047">
      <w:pPr>
        <w:spacing w:before="0" w:beforeAutospacing="0" w:after="180" w:afterAutospacing="0"/>
        <w:rPr/>
      </w:pPr>
      <w:r>
        <w:rPr>
          <w:rFonts w:ascii="Arial" w:cs="Arial" w:eastAsia="Arial" w:hAnsi="Arial"/>
          <w:b w:val="off"/>
          <w:bCs w:val="off"/>
          <w:i w:val="off"/>
          <w:iCs w:val="off"/>
          <w:color w:val="222222"/>
          <w:sz w:val="22"/>
          <w:szCs w:val="22"/>
        </w:rPr>
        <w:t>Human Heartbeat AI is a governance-first AI adoption partner for SME owners. We help businesses adopt artificial intelligence with commercial clarity, operational control, and human accountability at every decision point. We do not implement before we diagnose. We do not automate before we understand. And we never remove the human from the judgement that matters.</w:t>
      </w:r>
    </w:p>
    <w:p w14:paraId="00000048">
      <w:pPr>
        <w:spacing w:before="160" w:beforeAutospacing="0" w:after="0" w:afterAutospacing="0"/>
        <w:rPr/>
      </w:pPr>
    </w:p>
    <w:p w14:paraId="00000049">
      <w:pPr>
        <w:spacing w:before="0" w:beforeAutospacing="0" w:after="80" w:afterAutospacing="0"/>
        <w:rPr/>
      </w:pPr>
      <w:r>
        <w:rPr>
          <w:rFonts w:ascii="Arial" w:cs="Arial" w:eastAsia="Arial" w:hAnsi="Arial"/>
          <w:b/>
          <w:bCs/>
          <w:color w:val="666666"/>
          <w:sz w:val="18"/>
          <w:szCs w:val="18"/>
        </w:rPr>
        <w:t xml:space="preserve">Fact note: </w:t>
      </w:r>
      <w:r>
        <w:rPr>
          <w:rFonts w:ascii="Arial" w:cs="Arial" w:eastAsia="Arial" w:hAnsi="Arial"/>
          <w:color w:val="666666"/>
          <w:sz w:val="18"/>
          <w:szCs w:val="18"/>
        </w:rPr>
        <w:t>Key dates and penalties in this article are verified against the EU AI Act official text, the European Council’s May 2026 Omnibus political agreement, and analysis from Farrer &amp; Co, Gibson Dunn, DLA Piper, and the EU Commission’s official AI Act service desk. The Omnibus agreement as of June 2026 remains subject to formal adoption by the co-legislators.</w:t>
      </w:r>
    </w:p>
    <w:p w14:paraId="0000004A">
      <w:pPr>
        <w:pBdr>
          <w:bottom w:val="single" w:color="e94560" w:sz="6" w:space="1"/>
        </w:pBdr>
        <w:spacing w:before="200" w:beforeAutospacing="0" w:after="200" w:afterAutospacing="0"/>
        <w:rPr/>
      </w:pPr>
    </w:p>
    <w:sectPr>
      <w:pgSz w:w="11906" w:h="16838" w:orient="portrait"/>
      <w:pgMar w:top="1440" w:right="1440" w:bottom="1440" w:left="1440" w:header="708" w:footer="708" w:gutter="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a="http://schemas.openxmlformats.org/drawingml/2006/main" xmlns:dgm="http://schemas.openxmlformats.org/drawingml/2006/diagram" mc:Ignorable="w14 wp14 ">
  <w:endnote w:type="separator" w:id="0">
    <w:p w14:paraId="00000003">
      <w:pPr>
        <w:spacing w:beforeAutospacing="0" w:after="0" w:afterAutospacing="0" w:line="240" w:lineRule="auto"/>
        <w:rPr/>
      </w:pPr>
      <w:r>
        <w:rPr>
          <w:rStyle w:val="Endnotereference"/>
        </w:rPr>
        <w:endnoteRef/>
      </w:r>
      <w:r>
        <w:rPr/>
        <w:separator/>
      </w:r>
    </w:p>
  </w:endnote>
  <w:endnote w:type="continuationSeparator" w:id="1">
    <w:p w14:paraId="00000004">
      <w:pPr>
        <w:spacing w:beforeAutospacing="0" w:after="0" w:afterAutospacing="0" w:line="240" w:lineRule="auto"/>
        <w:rPr/>
      </w:pPr>
      <w:r>
        <w:rPr>
          <w:rStyle w:val="Endnotereference"/>
        </w:rPr>
        <w:endnoteRef/>
      </w:r>
      <w:r>
        <w:rP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roman"/>
    <w:pitch w:val="variable"/>
    <w:sig w:usb0="61002a87" w:usb1="80000000" w:usb2="00000008" w:usb3="00000000" w:csb0="000001ff" w:csb1="00000000"/>
  </w:font>
  <w:font w:name="Verdana">
    <w:panose1 w:val="020b0604030504040204"/>
    <w:charset w:val="00"/>
    <w:family w:val="roman"/>
    <w:pitch w:val="variable"/>
    <w:sig w:usb0="a10006ff" w:usb1="4000205b" w:usb2="00000010" w:usb3="00000000" w:csb0="0000019f" w:csb1="00000000"/>
  </w:font>
  <w:font w:name="Symbol">
    <w:panose1 w:val="05050102010706020507"/>
    <w:charset w:val="02"/>
    <w:family w:val="roman"/>
    <w:notTrueType w:val="on"/>
    <w:pitch w:val="variable"/>
  </w:font>
  <w:font w:name="Wingdings">
    <w:panose1 w:val="05000000000000000000"/>
    <w:charset w:val="02"/>
    <w:family w:val="auto"/>
    <w:notTrueType w:val="on"/>
    <w:pitch w:val="variable"/>
  </w:font>
  <w:font w:name="Helvetica Neue">
    <w:charset w:val="00"/>
    <w:family w:val="swiss"/>
    <w:pitch w:val="variable"/>
  </w:font>
  <w:font w:name="Georgia"/>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a="http://schemas.openxmlformats.org/drawingml/2006/main" xmlns:dgm="http://schemas.openxmlformats.org/drawingml/2006/diagram" mc:Ignorable="w14 wp14 ">
  <w:footnote w:type="separator" w:id="0">
    <w:p w14:paraId="00000001">
      <w:pPr>
        <w:spacing w:beforeAutospacing="0" w:after="0" w:afterAutospacing="0" w:line="240" w:lineRule="auto"/>
        <w:rPr/>
      </w:pPr>
      <w:r>
        <w:rPr>
          <w:rStyle w:val="Footnotereference"/>
        </w:rPr>
        <w:footnoteRef/>
      </w:r>
      <w:r>
        <w:rPr/>
        <w:separator/>
      </w:r>
    </w:p>
  </w:footnote>
  <w:footnote w:type="continuationSeparator" w:id="1">
    <w:p w14:paraId="00000002">
      <w:pPr>
        <w:spacing w:beforeAutospacing="0" w:after="0" w:afterAutospacing="0" w:line="240" w:lineRule="auto"/>
        <w:rPr/>
      </w:pPr>
      <w:r>
        <w:rPr>
          <w:rStyle w:val="Footnotereference"/>
        </w:rPr>
        <w:footnoteRef/>
      </w:r>
      <w:r>
        <w:rPr/>
        <w:continuationSeparator/>
      </w:r>
    </w:p>
  </w:footnote>
</w:footnote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14="http://schemas.microsoft.com/office/word/2010/wordml" xmlns:w="http://schemas.openxmlformats.org/wordprocessingml/2006/main">
  <w:abstractNum w:abstractNumId="0">
    <w:multiLevelType w:val="hybridMultilevel"/>
    <w:lvl w:ilvl="0" w:tentative="0">
      <w:start w:val="1"/>
      <w:numFmt w:val="bullet"/>
      <w:lvlText w:val="●"/>
      <w:lvlJc w:val="left"/>
      <w:pPr>
        <w:ind w:left="720" w:hanging="360"/>
      </w:pPr>
    </w:lvl>
    <w:lvl w:ilvl="1" w:tentative="0">
      <w:start w:val="1"/>
      <w:numFmt w:val="bullet"/>
      <w:lvlText w:val="○"/>
      <w:lvlJc w:val="left"/>
      <w:pPr>
        <w:ind w:left="1440" w:hanging="360"/>
      </w:pPr>
    </w:lvl>
    <w:lvl w:ilvl="2" w:tentative="0">
      <w:start w:val="1"/>
      <w:numFmt w:val="bullet"/>
      <w:lvlText w:val="■"/>
      <w:lvlJc w:val="left"/>
      <w:pPr>
        <w:ind w:left="2160" w:hanging="360"/>
      </w:pPr>
    </w:lvl>
    <w:lvl w:ilvl="3" w:tentative="0">
      <w:start w:val="1"/>
      <w:numFmt w:val="bullet"/>
      <w:lvlText w:val="●"/>
      <w:lvlJc w:val="left"/>
      <w:pPr>
        <w:ind w:left="2880" w:hanging="360"/>
      </w:pPr>
    </w:lvl>
    <w:lvl w:ilvl="4" w:tentative="0">
      <w:start w:val="1"/>
      <w:numFmt w:val="bullet"/>
      <w:lvlText w:val="○"/>
      <w:lvlJc w:val="left"/>
      <w:pPr>
        <w:ind w:left="3600" w:hanging="360"/>
      </w:pPr>
    </w:lvl>
    <w:lvl w:ilvl="5" w:tentative="0">
      <w:start w:val="1"/>
      <w:numFmt w:val="bullet"/>
      <w:lvlText w:val="■"/>
      <w:lvlJc w:val="left"/>
      <w:pPr>
        <w:ind w:left="4320" w:hanging="360"/>
      </w:pPr>
    </w:lvl>
    <w:lvl w:ilvl="6" w:tentative="0">
      <w:start w:val="1"/>
      <w:numFmt w:val="bullet"/>
      <w:lvlText w:val="●"/>
      <w:lvlJc w:val="left"/>
      <w:pPr>
        <w:ind w:left="5040" w:hanging="360"/>
      </w:pPr>
    </w:lvl>
    <w:lvl w:ilvl="7" w:tentative="0">
      <w:start w:val="1"/>
      <w:numFmt w:val="bullet"/>
      <w:lvlText w:val="●"/>
      <w:lvlJc w:val="left"/>
      <w:pPr>
        <w:ind w:left="5760" w:hanging="360"/>
      </w:pPr>
    </w:lvl>
    <w:lvl w:ilvl="8" w:tentative="0">
      <w:start w:val="1"/>
      <w:numFmt w:val="bullet"/>
      <w:lvlText w:val="●"/>
      <w:lvlJc w:val="left"/>
      <w:pPr>
        <w:ind w:left="6480" w:hanging="360"/>
      </w:pPr>
    </w:lvl>
  </w:abstractNum>
  <w:abstractNum w:abstractNumId="1">
    <w:multiLevelType w:val="hybridMultilevel"/>
    <w:lvl w:ilvl="0" w:tentative="0">
      <w:start w:val="1"/>
      <w:numFmt w:val="bullet"/>
      <w:lvlText w:val="•"/>
      <w:lvlJc w:val="left"/>
      <w:pPr>
        <w:ind w:left="720" w:hanging="360"/>
      </w:pPr>
    </w:lvl>
  </w:abstractNum>
  <w:num w:numId="1">
    <w:abstractNumId w:val="0"/>
    <w:lvlOverride w:ilvl="0">
      <w:startOverride w:val="1"/>
    </w:lvlOverride>
  </w:num>
  <w:num w:numId="2">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pat>
    <w:compatSetting w:val="15" w:name="compatibilityMode" w:uri="http://schemas.microsoft.com/office/word"/>
  </w:compat>
  <w:footnotePr>
    <w:footnote w:id="0"/>
    <w:footnote w:id="1"/>
  </w:footnotePr>
  <w:endnotePr>
    <w:endnote w:id="0"/>
    <w:endnote w:id="1"/>
  </w:endnotePr>
  <w:displayBackgroundShape w:val="on"/>
</w:settings>
</file>

<file path=word/styles.xml><?xml version="1.0" encoding="utf-8"?>
<w:styles xmlns:r="http://schemas.openxmlformats.org/officeDocument/2006/relationships" xmlns:w14="http://schemas.microsoft.com/office/word/2010/wordml" xmlns:w="http://schemas.openxmlformats.org/wordprocessingml/2006/main">
  <w:docDefaults>
    <w:rPrDefault>
      <w:rPr>
        <w:rFonts w:ascii="Arial" w:cs="Arial" w:eastAsia="Arial" w:hAnsi="Arial"/>
        <w:sz w:val="22"/>
        <w:szCs w:val="22"/>
      </w:rPr>
    </w:rPrDefault>
    <w:pPrDefault/>
  </w:docDefaults>
  <w:style w:type="paragraph" w:default="1" w:styleId="Normal">
    <w:name w:val="Normal"/>
    <w:uiPriority w:val="0"/>
    <w:qFormat w:val="on"/>
  </w:style>
  <w:style w:type="paragraph" w:styleId="Heading7">
    <w:name w:val="Heading 7"/>
    <w:basedOn w:val="Normal"/>
    <w:next w:val="Normal"/>
    <w:link w:val="Heading7Char"/>
    <w:uiPriority w:val="9"/>
    <w:semiHidden w:val="on"/>
    <w:unhideWhenUsed w:val="on"/>
    <w:qFormat w:val="on"/>
    <w:pPr>
      <w:keepNext w:val="on"/>
      <w:keepLines w:val="on"/>
      <w:spacing w:before="200" w:beforeAutospacing="0" w:after="0" w:afterAutospacing="0"/>
    </w:pPr>
    <w:rPr>
      <w:rFonts w:asciiTheme="majorHAnsi" w:cstheme="majorBidi" w:eastAsiaTheme="majorEastAsia" w:hAnsiTheme="majorHAnsi"/>
      <w:i/>
      <w:iCs/>
      <w:color w:val="404040" w:themeColor="text1" w:themeTint="bf"/>
    </w:rPr>
  </w:style>
  <w:style w:type="paragraph" w:styleId="Heading8">
    <w:name w:val="Heading 8"/>
    <w:basedOn w:val="Normal"/>
    <w:next w:val="Normal"/>
    <w:link w:val="Heading8Char"/>
    <w:uiPriority w:val="9"/>
    <w:semiHidden w:val="on"/>
    <w:unhideWhenUsed w:val="on"/>
    <w:qFormat w:val="on"/>
    <w:pPr>
      <w:keepNext w:val="on"/>
      <w:keepLines w:val="on"/>
      <w:spacing w:before="200" w:beforeAutospacing="0" w:after="0" w:afterAutospacing="0"/>
    </w:pPr>
    <w:rPr>
      <w:rFonts w:asciiTheme="majorHAnsi" w:cstheme="majorBidi" w:eastAsiaTheme="majorEastAsia" w:hAnsiTheme="majorHAnsi"/>
      <w:color w:val="404040" w:themeColor="text1" w:themeTint="bf"/>
      <w:sz w:val="20"/>
      <w:szCs w:val="20"/>
    </w:rPr>
  </w:style>
  <w:style w:type="paragraph" w:styleId="Heading9">
    <w:name w:val="Heading 9"/>
    <w:basedOn w:val="Normal"/>
    <w:next w:val="Normal"/>
    <w:link w:val="Heading9Char"/>
    <w:uiPriority w:val="9"/>
    <w:semiHidden w:val="on"/>
    <w:unhideWhenUsed w:val="on"/>
    <w:qFormat w:val="on"/>
    <w:pPr>
      <w:keepNext w:val="on"/>
      <w:keepLines w:val="on"/>
      <w:spacing w:before="200" w:beforeAutospacing="0" w:after="0" w:afterAutospacing="0"/>
    </w:pPr>
    <w:rPr>
      <w:rFonts w:asciiTheme="majorHAnsi" w:cstheme="majorBidi" w:eastAsiaTheme="majorEastAsia" w:hAnsiTheme="majorHAnsi"/>
      <w:i/>
      <w:iCs/>
      <w:color w:val="404040" w:themeColor="text1" w:themeTint="bf"/>
      <w:sz w:val="20"/>
      <w:szCs w:val="20"/>
    </w:rPr>
  </w:style>
  <w:style w:type="character" w:styleId="DefaultParagraphFont">
    <w:name w:val="Default Paragraph Font"/>
    <w:uiPriority w:val="1"/>
    <w:semiHidden w:val="on"/>
    <w:unhideWhenUsed w:val="on"/>
  </w:style>
  <w:style w:type="table" w:styleId="NormalTable">
    <w:name w:val="Normal Table"/>
    <w:uiPriority w:val="99"/>
    <w:semiHidden w:val="on"/>
    <w:unhideWhenUsed w:val="on"/>
    <w:qFormat w:val="on"/>
    <w:tblPr>
      <w:tblInd w:w="0" w:type="dxa"/>
      <w:tblCellMar>
        <w:top w:w="0" w:type="dxa"/>
        <w:left w:w="108" w:type="dxa"/>
        <w:bottom w:w="0" w:type="dxa"/>
        <w:right w:w="108" w:type="dxa"/>
      </w:tblCellMar>
    </w:tblPr>
  </w:style>
  <w:style w:type="numbering" w:styleId="NoList">
    <w:name w:val="No List"/>
    <w:uiPriority w:val="99"/>
    <w:semiHidden w:val="on"/>
    <w:unhideWhenUsed w:val="on"/>
  </w:style>
  <w:style w:type="paragraph" w:styleId="NoSpacing">
    <w:name w:val="No Spacing"/>
    <w:uiPriority w:val="1"/>
    <w:qFormat w:val="on"/>
    <w:pPr>
      <w:spacing w:beforeAutospacing="0" w:after="0" w:afterAutospacing="0" w:line="240" w:lineRule="auto"/>
    </w:pPr>
  </w:style>
  <w:style w:type="character" w:customStyle="1" w:styleId="Heading1Char">
    <w:name w:val="Heading 1 Char"/>
    <w:basedOn w:val="DefaultParagraphFont"/>
    <w:link w:val="Heading1"/>
    <w:uiPriority w:val="9"/>
    <w:rPr>
      <w:rFonts w:asciiTheme="majorHAnsi" w:cstheme="majorBidi" w:eastAsiaTheme="majorEastAsia" w:hAnsiTheme="majorHAnsi"/>
      <w:b/>
      <w:bCs/>
      <w:color w:val="2f5395" w:themeColor="accent1" w:themeShade="bf"/>
      <w:sz w:val="28"/>
      <w:szCs w:val="28"/>
    </w:rPr>
  </w:style>
  <w:style w:type="character" w:customStyle="1" w:styleId="Heading2Char">
    <w:name w:val="Heading 2 Char"/>
    <w:basedOn w:val="DefaultParagraphFont"/>
    <w:link w:val="Heading2"/>
    <w:uiPriority w:val="9"/>
    <w:rPr>
      <w:rFonts w:asciiTheme="majorHAnsi" w:cstheme="majorBidi" w:eastAsiaTheme="majorEastAsia" w:hAnsiTheme="majorHAnsi"/>
      <w:b/>
      <w:bCs/>
      <w:color w:val="4472c4" w:themeColor="accent1"/>
      <w:sz w:val="26"/>
      <w:szCs w:val="26"/>
    </w:rPr>
  </w:style>
  <w:style w:type="character" w:customStyle="1" w:styleId="Heading3Char">
    <w:name w:val="Heading 3 Char"/>
    <w:basedOn w:val="DefaultParagraphFont"/>
    <w:link w:val="Heading3"/>
    <w:uiPriority w:val="9"/>
    <w:rPr>
      <w:rFonts w:asciiTheme="majorHAnsi" w:cstheme="majorBidi" w:eastAsiaTheme="majorEastAsia" w:hAnsiTheme="majorHAnsi"/>
      <w:b/>
      <w:bCs/>
      <w:color w:val="4472c4" w:themeColor="accent1"/>
    </w:rPr>
  </w:style>
  <w:style w:type="character" w:customStyle="1" w:styleId="Heading4Char">
    <w:name w:val="Heading 4 Char"/>
    <w:basedOn w:val="DefaultParagraphFont"/>
    <w:link w:val="Heading4"/>
    <w:uiPriority w:val="9"/>
    <w:rPr>
      <w:rFonts w:asciiTheme="majorHAnsi" w:cstheme="majorBidi" w:eastAsiaTheme="majorEastAsia" w:hAnsiTheme="majorHAnsi"/>
      <w:b/>
      <w:bCs/>
      <w:i/>
      <w:iCs/>
      <w:color w:val="4472c4" w:themeColor="accent1"/>
    </w:rPr>
  </w:style>
  <w:style w:type="character" w:customStyle="1" w:styleId="Heading5Char">
    <w:name w:val="Heading 5 Char"/>
    <w:basedOn w:val="DefaultParagraphFont"/>
    <w:link w:val="Heading5"/>
    <w:uiPriority w:val="9"/>
    <w:rPr>
      <w:rFonts w:asciiTheme="majorHAnsi" w:cstheme="majorBidi" w:eastAsiaTheme="majorEastAsia" w:hAnsiTheme="majorHAnsi"/>
      <w:color w:val="1f3763" w:themeColor="accent1" w:themeShade="7f"/>
    </w:rPr>
  </w:style>
  <w:style w:type="character" w:customStyle="1" w:styleId="Heading6Char">
    <w:name w:val="Heading 6 Char"/>
    <w:basedOn w:val="DefaultParagraphFont"/>
    <w:link w:val="Heading6"/>
    <w:uiPriority w:val="9"/>
    <w:rPr>
      <w:rFonts w:asciiTheme="majorHAnsi" w:cstheme="majorBidi" w:eastAsiaTheme="majorEastAsia" w:hAnsiTheme="majorHAnsi"/>
      <w:i/>
      <w:iCs/>
      <w:color w:val="1f3763" w:themeColor="accent1" w:themeShade="7f"/>
    </w:rPr>
  </w:style>
  <w:style w:type="character" w:customStyle="1" w:styleId="Heading7Char">
    <w:name w:val="Heading 7 Char"/>
    <w:basedOn w:val="DefaultParagraphFont"/>
    <w:link w:val="Heading7"/>
    <w:uiPriority w:val="9"/>
    <w:rPr>
      <w:rFonts w:asciiTheme="majorHAnsi" w:cstheme="majorBidi" w:eastAsiaTheme="majorEastAsia" w:hAnsiTheme="majorHAnsi"/>
      <w:i/>
      <w:iCs/>
      <w:color w:val="404040" w:themeColor="text1" w:themeTint="bf"/>
    </w:rPr>
  </w:style>
  <w:style w:type="character" w:customStyle="1" w:styleId="Heading8Char">
    <w:name w:val="Heading 8 Char"/>
    <w:basedOn w:val="DefaultParagraphFont"/>
    <w:link w:val="Heading8"/>
    <w:uiPriority w:val="9"/>
    <w:rPr>
      <w:rFonts w:asciiTheme="majorHAnsi" w:cstheme="majorBidi" w:eastAsiaTheme="majorEastAsia" w:hAnsiTheme="majorHAnsi"/>
      <w:color w:val="404040" w:themeColor="text1" w:themeTint="bf"/>
      <w:sz w:val="20"/>
      <w:szCs w:val="20"/>
    </w:rPr>
  </w:style>
  <w:style w:type="character" w:customStyle="1" w:styleId="Heading9Char">
    <w:name w:val="Heading 9 Char"/>
    <w:basedOn w:val="DefaultParagraphFont"/>
    <w:link w:val="Heading9"/>
    <w:uiPriority w:val="9"/>
    <w:rPr>
      <w:rFonts w:asciiTheme="majorHAnsi" w:cstheme="majorBidi" w:eastAsiaTheme="majorEastAsia" w:hAnsiTheme="majorHAnsi"/>
      <w:i/>
      <w:iCs/>
      <w:color w:val="404040" w:themeColor="text1" w:themeTint="bf"/>
      <w:sz w:val="20"/>
      <w:szCs w:val="20"/>
    </w:rPr>
  </w:style>
  <w:style w:type="character" w:customStyle="1" w:styleId="TitleChar">
    <w:name w:val="Title Char"/>
    <w:basedOn w:val="DefaultParagraphFont"/>
    <w:link w:val="Title"/>
    <w:uiPriority w:val="10"/>
    <w:rPr>
      <w:rFonts w:asciiTheme="majorHAnsi" w:cstheme="majorBidi" w:eastAsiaTheme="majorEastAsia" w:hAnsiTheme="majorHAnsi"/>
      <w:color w:val="333f4f" w:themeColor="text2" w:themeShade="bf"/>
      <w:spacing w:val="5"/>
      <w:sz w:val="52"/>
      <w:szCs w:val="52"/>
    </w:rPr>
  </w:style>
  <w:style w:type="paragraph" w:styleId="Subtitle">
    <w:name w:val="Subtitle"/>
    <w:basedOn w:val="Normal"/>
    <w:next w:val="Normal"/>
    <w:link w:val="SubtitleChar"/>
    <w:uiPriority w:val="11"/>
    <w:qFormat w:val="on"/>
    <w:pPr/>
    <w:rPr>
      <w:rFonts w:asciiTheme="majorHAnsi" w:cstheme="majorBidi" w:eastAsiaTheme="majorEastAsia" w:hAnsiTheme="majorHAnsi"/>
      <w:i/>
      <w:iCs/>
      <w:color w:val="4472c4" w:themeColor="accent1"/>
      <w:spacing w:val="15"/>
      <w:sz w:val="24"/>
      <w:szCs w:val="24"/>
    </w:rPr>
  </w:style>
  <w:style w:type="character" w:customStyle="1" w:styleId="SubtitleChar">
    <w:name w:val="Subtitle Char"/>
    <w:basedOn w:val="DefaultParagraphFont"/>
    <w:link w:val="Subtitle"/>
    <w:uiPriority w:val="11"/>
    <w:rPr>
      <w:rFonts w:asciiTheme="majorHAnsi" w:cstheme="majorBidi" w:eastAsiaTheme="majorEastAsia" w:hAnsiTheme="majorHAnsi"/>
      <w:i/>
      <w:iCs/>
      <w:color w:val="4472c4" w:themeColor="accent1"/>
      <w:spacing w:val="15"/>
      <w:sz w:val="24"/>
      <w:szCs w:val="24"/>
    </w:rPr>
  </w:style>
  <w:style w:type="character" w:styleId="SubtleEmphasis">
    <w:name w:val="Subtle Emphasis"/>
    <w:basedOn w:val="DefaultParagraphFont"/>
    <w:uiPriority w:val="19"/>
    <w:qFormat w:val="on"/>
    <w:rPr>
      <w:i/>
      <w:iCs/>
      <w:color w:val="808080" w:themeColor="text1" w:themeTint="7f"/>
    </w:rPr>
  </w:style>
  <w:style w:type="character" w:styleId="Emphasis">
    <w:name w:val="Emphasis"/>
    <w:basedOn w:val="DefaultParagraphFont"/>
    <w:uiPriority w:val="20"/>
    <w:qFormat w:val="on"/>
    <w:rPr>
      <w:i/>
      <w:iCs/>
    </w:rPr>
  </w:style>
  <w:style w:type="character" w:styleId="IntenseEmphasis">
    <w:name w:val="Intense Emphasis"/>
    <w:basedOn w:val="DefaultParagraphFont"/>
    <w:uiPriority w:val="21"/>
    <w:qFormat w:val="on"/>
    <w:rPr>
      <w:b/>
      <w:bCs/>
      <w:i/>
      <w:iCs/>
      <w:color w:val="4472c4" w:themeColor="accent1"/>
    </w:rPr>
  </w:style>
  <w:style w:type="paragraph" w:styleId="Quote">
    <w:name w:val="Quote"/>
    <w:basedOn w:val="Normal"/>
    <w:next w:val="Normal"/>
    <w:link w:val="QuoteChar"/>
    <w:uiPriority w:val="29"/>
    <w:qFormat w:val="on"/>
    <w:rPr>
      <w:i/>
      <w:iCs/>
      <w:color w:val="000000" w:themeColor="text1"/>
    </w:rPr>
  </w:style>
  <w:style w:type="character" w:customStyle="1" w:styleId="QuoteChar">
    <w:name w:val="Quote Char"/>
    <w:basedOn w:val="DefaultParagraphFont"/>
    <w:link w:val="Quote"/>
    <w:uiPriority w:val="29"/>
    <w:rPr>
      <w:i/>
      <w:iCs/>
      <w:color w:val="000000" w:themeColor="text1"/>
    </w:rPr>
  </w:style>
  <w:style w:type="paragraph" w:styleId="IntenseQuote">
    <w:name w:val="Intense Quote"/>
    <w:basedOn w:val="Normal"/>
    <w:next w:val="Normal"/>
    <w:link w:val="IntenseQuoteChar"/>
    <w:uiPriority w:val="30"/>
    <w:qFormat w:val="on"/>
    <w:pPr>
      <w:pBdr>
        <w:bottom w:val="single" w:color="4472c4" w:themeColor="accent1" w:sz="4" w:space="4"/>
      </w:pBdr>
      <w:spacing w:before="200" w:beforeAutospacing="0" w:after="280" w:afterAutospacing="0"/>
      <w:ind w:left="936" w:right="936"/>
    </w:pPr>
    <w:rPr>
      <w:b/>
      <w:bCs/>
      <w:i/>
      <w:iCs/>
      <w:color w:val="4472c4" w:themeColor="accent1"/>
    </w:rPr>
  </w:style>
  <w:style w:type="character" w:customStyle="1" w:styleId="IntenseQuoteChar">
    <w:name w:val="Intense Quote Char"/>
    <w:basedOn w:val="DefaultParagraphFont"/>
    <w:link w:val="IntenseQuote"/>
    <w:uiPriority w:val="30"/>
    <w:rPr>
      <w:b/>
      <w:bCs/>
      <w:i/>
      <w:iCs/>
      <w:color w:val="4472c4" w:themeColor="accent1"/>
    </w:rPr>
  </w:style>
  <w:style w:type="character" w:styleId="SubtleReference">
    <w:name w:val="Subtle Reference"/>
    <w:basedOn w:val="DefaultParagraphFont"/>
    <w:uiPriority w:val="31"/>
    <w:qFormat w:val="on"/>
    <w:rPr>
      <w:smallCaps/>
      <w:color w:val="ed7d31" w:themeColor="accent2"/>
      <w:u w:val="single"/>
    </w:rPr>
  </w:style>
  <w:style w:type="character" w:styleId="IntenseReference">
    <w:name w:val="Intense Reference"/>
    <w:basedOn w:val="DefaultParagraphFont"/>
    <w:uiPriority w:val="32"/>
    <w:qFormat w:val="on"/>
    <w:rPr>
      <w:b/>
      <w:bCs/>
      <w:smallCaps/>
      <w:color w:val="ed7d31" w:themeColor="accent2"/>
      <w:spacing w:val="5"/>
      <w:u w:val="single"/>
    </w:rPr>
  </w:style>
  <w:style w:type="character" w:styleId="BookTitle">
    <w:name w:val="Book Title"/>
    <w:basedOn w:val="DefaultParagraphFont"/>
    <w:uiPriority w:val="33"/>
    <w:qFormat w:val="on"/>
    <w:rPr>
      <w:b/>
      <w:bCs/>
      <w:smallCaps/>
      <w:spacing w:val="5"/>
    </w:rPr>
  </w:style>
  <w:style w:type="character" w:styleId="FollowedHyperlink">
    <w:name w:val="FollowedHyperlink"/>
    <w:basedOn w:val="DefaultParagraphFont"/>
    <w:uiPriority w:val="99"/>
    <w:semiHidden w:val="on"/>
    <w:unhideWhenUsed w:val="on"/>
    <w:rPr>
      <w:color w:val="954f72" w:themeColor="followedHyperlink"/>
      <w:u w:val="single"/>
    </w:rPr>
  </w:style>
  <w:style w:type="paragraph" w:styleId="PlainText">
    <w:name w:val="Plain Text"/>
    <w:basedOn w:val="Normal"/>
    <w:link w:val="PlainTextChar"/>
    <w:uiPriority w:val="99"/>
    <w:semiHidden w:val="on"/>
    <w:unhideWhenUsed w:val="on"/>
    <w:pPr>
      <w:spacing w:beforeAutospacing="0" w:after="0" w:afterAutospacing="0" w:line="240" w:lineRule="auto"/>
    </w:pPr>
    <w:rPr>
      <w:rFonts w:ascii="Courier New" w:cs="Courier New" w:hAnsi="Courier New"/>
      <w:sz w:val="21"/>
      <w:szCs w:val="21"/>
    </w:rPr>
  </w:style>
  <w:style w:type="character" w:customStyle="1" w:styleId="PlainTextChar">
    <w:name w:val="Plain Text Char"/>
    <w:basedOn w:val="DefaultParagraphFont"/>
    <w:link w:val="PlainText"/>
    <w:uiPriority w:val="99"/>
    <w:rPr>
      <w:rFonts w:ascii="Courier New" w:cs="Courier New" w:hAnsi="Courier New"/>
      <w:sz w:val="21"/>
      <w:szCs w:val="21"/>
    </w:rPr>
  </w:style>
  <w:style w:type="paragraph" w:styleId="Header">
    <w:name w:val="Header"/>
    <w:basedOn w:val="Normal"/>
    <w:link w:val="HeaderChar"/>
    <w:uiPriority w:val="99"/>
    <w:unhideWhenUsed w:val="on"/>
    <w:pPr>
      <w:spacing w:beforeAutospacing="0" w:after="0" w:afterAutospacing="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val="on"/>
    <w:pPr>
      <w:spacing w:beforeAutospacing="0" w:after="0" w:afterAutospacing="0" w:line="240" w:lineRule="auto"/>
    </w:pPr>
  </w:style>
  <w:style w:type="character" w:customStyle="1" w:styleId="FooterChar">
    <w:name w:val="Footer Char"/>
    <w:basedOn w:val="DefaultParagraphFont"/>
    <w:link w:val="Footer"/>
    <w:uiPriority w:val="99"/>
  </w:style>
  <w:style w:type="paragraph" w:styleId="Caption">
    <w:name w:val="Caption"/>
    <w:basedOn w:val="Normal"/>
    <w:next w:val="Normal"/>
    <w:uiPriority w:val="35"/>
    <w:unhideWhenUsed w:val="on"/>
    <w:qFormat w:val="on"/>
    <w:pPr>
      <w:spacing w:beforeAutospacing="0" w:after="200" w:afterAutospacing="0" w:line="240" w:lineRule="auto"/>
    </w:pPr>
    <w:rPr>
      <w:i/>
      <w:iCs/>
      <w:color w:val="44546a" w:themeColor="text2"/>
      <w:sz w:val="18"/>
      <w:szCs w:val="18"/>
    </w:rPr>
  </w:style>
  <w:style w:type="paragraph" w:styleId="Title">
    <w:name w:val="Title"/>
    <w:basedOn w:val="Normal"/>
    <w:next w:val="Normal"/>
    <w:uiPriority w:val="99"/>
    <w:qFormat w:val="on"/>
    <w:rPr>
      <w:sz w:val="56"/>
      <w:szCs w:val="56"/>
    </w:rPr>
  </w:style>
  <w:style w:type="paragraph" w:styleId="Heading4">
    <w:name w:val="Heading 4"/>
    <w:basedOn w:val="Normal"/>
    <w:next w:val="Normal"/>
    <w:uiPriority w:val="99"/>
    <w:qFormat w:val="on"/>
    <w:rPr>
      <w:i/>
      <w:iCs/>
      <w:color w:val="2e74b5"/>
    </w:rPr>
  </w:style>
  <w:style w:type="paragraph" w:styleId="Heading5">
    <w:name w:val="Heading 5"/>
    <w:basedOn w:val="Normal"/>
    <w:next w:val="Normal"/>
    <w:uiPriority w:val="99"/>
    <w:qFormat w:val="on"/>
    <w:rPr>
      <w:color w:val="2e74b5"/>
    </w:rPr>
  </w:style>
  <w:style w:type="paragraph" w:styleId="Heading6">
    <w:name w:val="Heading 6"/>
    <w:basedOn w:val="Normal"/>
    <w:next w:val="Normal"/>
    <w:uiPriority w:val="99"/>
    <w:qFormat w:val="on"/>
    <w:rPr>
      <w:color w:val="1f4d78"/>
    </w:rPr>
  </w:style>
  <w:style w:type="paragraph" w:styleId="Strong">
    <w:name w:val="Strong"/>
    <w:basedOn w:val="Normal"/>
    <w:next w:val="Normal"/>
    <w:uiPriority w:val="99"/>
    <w:qFormat w:val="on"/>
    <w:rPr>
      <w:b/>
      <w:bCs/>
    </w:rPr>
  </w:style>
  <w:style w:type="paragraph" w:styleId="ListParagraph">
    <w:name w:val="List Paragraph"/>
    <w:basedOn w:val="Normal"/>
    <w:uiPriority w:val="99"/>
    <w:qFormat w:val="on"/>
  </w:style>
  <w:style w:type="character" w:styleId="Hyperlink">
    <w:name w:val="Hyperlink"/>
    <w:basedOn w:val="DefaultParagraphFont"/>
    <w:uiPriority w:val="99"/>
    <w:unhideWhenUsed w:val="on"/>
    <w:rPr>
      <w:color w:val="0563c1"/>
      <w:u w:val="single"/>
    </w:rPr>
  </w:style>
  <w:style w:type="character" w:styleId="Footnotereference">
    <w:name w:val="Footnote reference"/>
    <w:basedOn w:val="DefaultParagraphFont"/>
    <w:uiPriority w:val="99"/>
    <w:semiHidden w:val="on"/>
    <w:unhideWhenUsed w:val="on"/>
    <w:rPr>
      <w:vertAlign w:val="superscript"/>
    </w:rPr>
  </w:style>
  <w:style w:type="paragraph" w:styleId="Footnotetext">
    <w:name w:val="Footnote text"/>
    <w:basedOn w:val="Normal"/>
    <w:link w:val="FootnoteTextChar"/>
    <w:uiPriority w:val="99"/>
    <w:semiHidden w:val="on"/>
    <w:unhideWhenUsed w:val="on"/>
    <w:pPr>
      <w:spacing w:beforeAutospacing="0" w:after="0" w:afterAutospacing="0" w:line="240" w:lineRule="auto"/>
    </w:pPr>
    <w:rPr>
      <w:sz w:val="20"/>
      <w:szCs w:val="20"/>
    </w:rPr>
  </w:style>
  <w:style w:type="character" w:styleId="FootnoteTextChar">
    <w:name w:val="Footnote Text Char"/>
    <w:basedOn w:val="DefaultParagraphFont"/>
    <w:link w:val="Footnotetext"/>
    <w:uiPriority w:val="99"/>
    <w:semiHidden w:val="on"/>
    <w:unhideWhenUsed w:val="on"/>
    <w:rPr>
      <w:sz w:val="20"/>
      <w:szCs w:val="20"/>
    </w:rPr>
  </w:style>
  <w:style w:type="character" w:styleId="Endnotereference">
    <w:name w:val="Endnote reference"/>
    <w:basedOn w:val="DefaultParagraphFont"/>
    <w:uiPriority w:val="99"/>
    <w:semiHidden w:val="on"/>
    <w:unhideWhenUsed w:val="on"/>
    <w:rPr>
      <w:vertAlign w:val="superscript"/>
    </w:rPr>
  </w:style>
  <w:style w:type="paragraph" w:styleId="Endnotetext">
    <w:name w:val="Endnote text"/>
    <w:basedOn w:val="Normal"/>
    <w:link w:val="EndnoteTextChar"/>
    <w:uiPriority w:val="99"/>
    <w:semiHidden w:val="on"/>
    <w:unhideWhenUsed w:val="on"/>
    <w:pPr>
      <w:spacing w:beforeAutospacing="0" w:after="0" w:afterAutospacing="0" w:line="240" w:lineRule="auto"/>
    </w:pPr>
    <w:rPr>
      <w:sz w:val="20"/>
      <w:szCs w:val="20"/>
    </w:rPr>
  </w:style>
  <w:style w:type="character" w:styleId="EndnoteTextChar">
    <w:name w:val="Endnote Text Char"/>
    <w:basedOn w:val="DefaultParagraphFont"/>
    <w:link w:val="Endnotetext"/>
    <w:uiPriority w:val="99"/>
    <w:semiHidden w:val="on"/>
    <w:unhideWhenUsed w:val="on"/>
    <w:rPr>
      <w:sz w:val="20"/>
      <w:szCs w:val="20"/>
    </w:rPr>
  </w:style>
  <w:style w:type="paragraph" w:styleId="Heading1">
    <w:name w:val="Heading 1"/>
    <w:basedOn w:val="Normal"/>
    <w:next w:val="Normal"/>
    <w:uiPriority w:val="99"/>
    <w:qFormat w:val="on"/>
    <w:pPr>
      <w:spacing w:before="400" w:beforeAutospacing="0" w:after="200" w:afterAutospacing="0"/>
    </w:pPr>
    <w:rPr>
      <w:rFonts w:ascii="Georgia" w:cs="Georgia" w:eastAsia="Georgia" w:hAnsi="Georgia"/>
      <w:b/>
      <w:bCs/>
      <w:color w:val="1a1a2e"/>
      <w:sz w:val="36"/>
      <w:szCs w:val="36"/>
    </w:rPr>
  </w:style>
  <w:style w:type="paragraph" w:styleId="Heading2">
    <w:name w:val="Heading 2"/>
    <w:basedOn w:val="Normal"/>
    <w:next w:val="Normal"/>
    <w:uiPriority w:val="99"/>
    <w:qFormat w:val="on"/>
    <w:pPr>
      <w:spacing w:before="320" w:beforeAutospacing="0" w:after="160" w:afterAutospacing="0"/>
    </w:pPr>
    <w:rPr>
      <w:rFonts w:ascii="Georgia" w:cs="Georgia" w:eastAsia="Georgia" w:hAnsi="Georgia"/>
      <w:b/>
      <w:bCs/>
      <w:color w:val="0f3460"/>
      <w:sz w:val="28"/>
      <w:szCs w:val="28"/>
    </w:rPr>
  </w:style>
  <w:style w:type="paragraph" w:styleId="Heading3">
    <w:name w:val="Heading 3"/>
    <w:basedOn w:val="Normal"/>
    <w:next w:val="Normal"/>
    <w:uiPriority w:val="99"/>
    <w:qFormat w:val="on"/>
    <w:pPr>
      <w:spacing w:before="240" w:beforeAutospacing="0" w:after="120" w:afterAutospacing="0"/>
    </w:pPr>
    <w:rPr>
      <w:rFonts w:ascii="Georgia" w:cs="Georgia" w:eastAsia="Georgia" w:hAnsi="Georgia"/>
      <w:b/>
      <w:bCs/>
      <w:color w:val="16213e"/>
      <w:sz w:val="24"/>
      <w:szCs w:val="24"/>
    </w:rPr>
  </w:style>
</w:styles>
</file>

<file path=word/_rels/comments.xml.rels><?xml version="1.0" encoding="UTF-8"?><Relationships xmlns="http://schemas.openxmlformats.org/package/2006/relationship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7" Type="http://schemas.openxmlformats.org/officeDocument/2006/relationships/fontTable" Target="fontTable.xml"/><Relationship Id="rId8" Type="http://schemas.openxmlformats.org/officeDocument/2006/relationships/theme" Target="theme/theme1.xml"/></Relationships>
</file>

<file path=word/_rels/endnotes.xml.rels><?xml version="1.0" encoding="UTF-8" standalone="yes"?>
<Relationships xmlns="http://schemas.openxmlformats.org/package/2006/relationships"></Relationships>
</file>

<file path=word/_rels/fontTable.xml.rels><?xml version="1.0" encoding="UTF-8"?><Relationships xmlns="http://schemas.openxmlformats.org/package/2006/relationships"/>
</file>

<file path=word/_rels/footnotes.xml.rels><?xml version="1.0" encoding="UTF-8" standalone="yes"?>
<Relationships xmlns="http://schemas.openxmlformats.org/package/2006/relationships"></Relationships>
</file>

<file path=word/_rels/numbering.xml.rels><?xml version="1.0" encoding="UTF-8" standalone="yes"?>
<Relationships xmlns="http://schemas.openxmlformats.org/package/2006/relationships"></Relationships>
</file>

<file path=word/theme/theme1.xml><?xml version="1.0" encoding="utf-8"?>
<a:theme xmlns:a="http://schemas.openxmlformats.org/drawingml/2006/main" name="Default">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Arab" typeface="Times New Roman"/>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Times New Roman"/>
        <a:font script="Knda" typeface="Tunga"/>
        <a:font script="Khmr" typeface="MoolBoran"/>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Light"/>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Light"/>
        <a:font script="Olck" typeface="Nirmala UI"/>
        <a:font script="Lisu" typeface="Segoe UI"/>
        <a:font script="Sora" typeface="Nirmala UI"/>
      </a:majorFont>
      <a:minorFont>
        <a:latin typeface="Calibri" panose="020F0502020204030204"/>
        <a:ea typeface=""/>
        <a:cs typeface=""/>
        <a:font script="Arab" typeface="Arial"/>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Arial"/>
        <a:font script="Knda" typeface="Tunga"/>
        <a:font script="Khmr" typeface="DaunPenh"/>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a:font script="Olck" typeface="Nirmala UI"/>
        <a:font script="Lisu" typeface="Segoe UI"/>
        <a:font script="Sora" typeface="Nirmala UI"/>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Phillip Llewellyn</cp:lastModifiedBy>
</cp:coreProperties>
</file>

<file path=docProps/custom.xml><?xml version="1.0" encoding="utf-8"?>
<Properties xmlns="http://schemas.openxmlformats.org/officeDocument/2006/custom-properties" xmlns:vt="http://schemas.openxmlformats.org/officeDocument/2006/docPropsVTypes"/>
</file>